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8482"/>
      </w:tblGrid>
      <w:tr w:rsidR="00EB5CFC" w:rsidTr="00EB5CFC">
        <w:trPr>
          <w:trHeight w:val="850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Symbol efektu  kształcenia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Opis efektów kształcenia dla kierunku studiów                      </w:t>
            </w:r>
            <w:r w:rsidRPr="00EC759D">
              <w:rPr>
                <w:rStyle w:val="Pogrubienie"/>
                <w:i/>
              </w:rPr>
              <w:t>„Farmacja  Medyczna”</w:t>
            </w:r>
            <w:r>
              <w:rPr>
                <w:rStyle w:val="Pogrubienie"/>
              </w:rPr>
              <w:t xml:space="preserve">  w zakresie </w:t>
            </w:r>
            <w:r w:rsidRPr="005654AD">
              <w:rPr>
                <w:rStyle w:val="Pogrubienie"/>
                <w:u w:val="single"/>
              </w:rPr>
              <w:t xml:space="preserve">wiedzy.                                                                                                                                                        </w:t>
            </w:r>
            <w:r>
              <w:rPr>
                <w:rStyle w:val="Pogrubienie"/>
              </w:rPr>
              <w:t>Po zakończeniu studiów podyplomowych absolwent: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F_W01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 źródła i hierarchię</w:t>
            </w:r>
            <w:r>
              <w:rPr>
                <w:rStyle w:val="Pogrubienie"/>
                <w:b w:val="0"/>
              </w:rPr>
              <w:t xml:space="preserve"> źródeł </w:t>
            </w:r>
            <w:r w:rsidRPr="00ED45A4">
              <w:rPr>
                <w:rStyle w:val="Pogrubienie"/>
                <w:b w:val="0"/>
              </w:rPr>
              <w:t xml:space="preserve"> informacji o leku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F_W02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Identyfikuje problemy etyczne z zakresu medycyny i farmacji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F_W03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akty prawne regulujące rynek farmaceutyczny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F_W04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Zna elementy prawa gospodarczego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F_W05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rolę, kompetencje i  zasady działania instytucji nadzorujących rynek farmaceutyczny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F_W06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problematykę badań klinicznych produktów leczniczych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F_W07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Zna zasady rejestracji produktów leczniczych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F_W08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zasady rejestracji </w:t>
            </w:r>
            <w:r w:rsidRPr="00ED45A4">
              <w:rPr>
                <w:rStyle w:val="Pogrubienie"/>
                <w:b w:val="0"/>
              </w:rPr>
              <w:t>wyrobów medycznych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F_W09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Zna zasady rejestracji</w:t>
            </w:r>
            <w:r w:rsidRPr="00ED45A4">
              <w:rPr>
                <w:rStyle w:val="Pogrubienie"/>
                <w:b w:val="0"/>
              </w:rPr>
              <w:t xml:space="preserve"> produktów </w:t>
            </w:r>
            <w:r>
              <w:rPr>
                <w:rStyle w:val="Pogrubienie"/>
                <w:b w:val="0"/>
              </w:rPr>
              <w:t>weterynaryjnych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F_W10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zasady rejestracji </w:t>
            </w:r>
            <w:r w:rsidRPr="00ED45A4">
              <w:rPr>
                <w:rStyle w:val="Pogrubienie"/>
                <w:b w:val="0"/>
              </w:rPr>
              <w:t>produktów biobójczych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F_W11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zasady wprowadzania do obrotu </w:t>
            </w:r>
            <w:r w:rsidRPr="00ED45A4">
              <w:rPr>
                <w:rStyle w:val="Pogrubienie"/>
                <w:b w:val="0"/>
              </w:rPr>
              <w:t>suplementów diety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F_W12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właściwości farmakologiczne wybranych grup leków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F_W13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podstawowe zagadnienia z zakresu farmakoterapii wybranych chorób przewlekłych w oparciu o zasady medycyny opartej na faktach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F_W14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Rozumie potrzebę poszukiwań nowych leków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F_W15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Zna</w:t>
            </w:r>
            <w:r w:rsidRPr="00ED45A4">
              <w:rPr>
                <w:rStyle w:val="Pogrubienie"/>
                <w:b w:val="0"/>
              </w:rPr>
              <w:t xml:space="preserve"> parametry </w:t>
            </w:r>
            <w:r>
              <w:rPr>
                <w:rStyle w:val="Pogrubienie"/>
                <w:b w:val="0"/>
              </w:rPr>
              <w:t xml:space="preserve">i modele </w:t>
            </w:r>
            <w:r w:rsidRPr="00ED45A4">
              <w:rPr>
                <w:rStyle w:val="Pogrubienie"/>
                <w:b w:val="0"/>
              </w:rPr>
              <w:t>farmakokinetyczne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F_W16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czynniki fizjologiczne, patofizjologiczne i środowiskowe wpływające na</w:t>
            </w:r>
            <w:r>
              <w:rPr>
                <w:rStyle w:val="Pogrubienie"/>
                <w:b w:val="0"/>
              </w:rPr>
              <w:t xml:space="preserve"> działanie leków i  </w:t>
            </w:r>
            <w:r w:rsidRPr="00ED45A4">
              <w:rPr>
                <w:rStyle w:val="Pogrubienie"/>
                <w:b w:val="0"/>
              </w:rPr>
              <w:t>farmakokinetykę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F_W17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 xml:space="preserve">Zna </w:t>
            </w:r>
            <w:r>
              <w:rPr>
                <w:rStyle w:val="Pogrubienie"/>
                <w:b w:val="0"/>
              </w:rPr>
              <w:t xml:space="preserve"> przyczyny występowania interakcji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F_W18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kryteria farmakopealne i niefarmakopealne oceny jakości postaci leku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F_W19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 xml:space="preserve">Rozumie zagadnienia związane z </w:t>
            </w:r>
            <w:proofErr w:type="spellStart"/>
            <w:r w:rsidRPr="00ED45A4">
              <w:rPr>
                <w:rStyle w:val="Pogrubienie"/>
                <w:b w:val="0"/>
              </w:rPr>
              <w:t>biorównoważnością</w:t>
            </w:r>
            <w:proofErr w:type="spellEnd"/>
            <w:r w:rsidRPr="00ED45A4">
              <w:rPr>
                <w:rStyle w:val="Pogrubienie"/>
                <w:b w:val="0"/>
              </w:rPr>
              <w:t xml:space="preserve"> leków odtwórczych i referencyjnych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F_W20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Rozumie znaczenie modyfikacji postaci leku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F_W21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kierunki rozwoju technologii postaci leku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F_W22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rPr>
                <w:rStyle w:val="Pogrubienie"/>
              </w:rPr>
            </w:pPr>
            <w:r w:rsidRPr="00ED45A4">
              <w:rPr>
                <w:rStyle w:val="Pogrubienie"/>
                <w:b w:val="0"/>
              </w:rPr>
              <w:t>Zna etapy rozwoju produktu leczniczego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F_W23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Zna obowiązujące procedury</w:t>
            </w:r>
            <w:r w:rsidRPr="00ED45A4">
              <w:rPr>
                <w:rStyle w:val="Pogrubienie"/>
                <w:b w:val="0"/>
              </w:rPr>
              <w:t xml:space="preserve"> monitorowania</w:t>
            </w:r>
            <w:r>
              <w:rPr>
                <w:rStyle w:val="Pogrubienie"/>
                <w:b w:val="0"/>
              </w:rPr>
              <w:t xml:space="preserve"> działań niepożądanych  </w:t>
            </w:r>
            <w:r w:rsidRPr="00ED45A4">
              <w:rPr>
                <w:rStyle w:val="Pogrubienie"/>
                <w:b w:val="0"/>
              </w:rPr>
              <w:t>leków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F_W24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  <w:b w:val="0"/>
              </w:rPr>
              <w:t xml:space="preserve">Zna elementy </w:t>
            </w:r>
            <w:r w:rsidRPr="00ED45A4">
              <w:rPr>
                <w:rStyle w:val="Pogrubienie"/>
                <w:b w:val="0"/>
              </w:rPr>
              <w:t>statystyki biomedycznej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F_W25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pojęcia z zakresu ekonomiki zdrowia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Pr="00ED45A4" w:rsidRDefault="00EB5CFC" w:rsidP="007C55CA">
            <w:pPr>
              <w:pStyle w:val="NormalnyWeb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F_W26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systemy opieki zdrowotnej oraz zasady finansowania świadczeń zdrowotnych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F_W27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 xml:space="preserve">Zna rodzaje analiz </w:t>
            </w:r>
            <w:proofErr w:type="spellStart"/>
            <w:r w:rsidRPr="00ED45A4">
              <w:rPr>
                <w:rStyle w:val="Pogrubienie"/>
                <w:b w:val="0"/>
              </w:rPr>
              <w:t>farmakoekonomicznych</w:t>
            </w:r>
            <w:proofErr w:type="spellEnd"/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F_W28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strategie marketingu farmaceutycznego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F_W29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zasady reklamy produktów leczniczych, suplementów diety i kosmetyków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F_W30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Zna systemy</w:t>
            </w:r>
            <w:r w:rsidRPr="00ED45A4">
              <w:rPr>
                <w:rStyle w:val="Pogrubienie"/>
                <w:b w:val="0"/>
              </w:rPr>
              <w:t xml:space="preserve"> zarządzania w p</w:t>
            </w:r>
            <w:r>
              <w:rPr>
                <w:rStyle w:val="Pogrubienie"/>
                <w:b w:val="0"/>
              </w:rPr>
              <w:t>rzedsiębiorstwie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F_W31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czynniki mające wpływ na użytkowanie leków</w:t>
            </w:r>
          </w:p>
        </w:tc>
      </w:tr>
      <w:tr w:rsidR="00EB5CFC" w:rsidTr="00EB5CFC">
        <w:trPr>
          <w:trHeight w:val="144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F_W32</w:t>
            </w:r>
          </w:p>
        </w:tc>
        <w:tc>
          <w:tcPr>
            <w:tcW w:w="8482" w:type="dxa"/>
          </w:tcPr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zasady usprawniania komunikacji interpersonalnej</w:t>
            </w:r>
          </w:p>
        </w:tc>
      </w:tr>
      <w:tr w:rsidR="00EB5CFC" w:rsidTr="00EB5CFC">
        <w:trPr>
          <w:trHeight w:val="536"/>
        </w:trPr>
        <w:tc>
          <w:tcPr>
            <w:tcW w:w="1724" w:type="dxa"/>
          </w:tcPr>
          <w:p w:rsidR="00EB5CFC" w:rsidRDefault="00EB5CFC" w:rsidP="007C55CA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F_W33</w:t>
            </w:r>
          </w:p>
        </w:tc>
        <w:tc>
          <w:tcPr>
            <w:tcW w:w="8482" w:type="dxa"/>
          </w:tcPr>
          <w:p w:rsidR="00EB5CFC" w:rsidRDefault="00EB5CFC" w:rsidP="007C55CA">
            <w:pPr>
              <w:pStyle w:val="NormalnyWeb"/>
              <w:rPr>
                <w:rStyle w:val="Pogrubienie"/>
                <w:b w:val="0"/>
              </w:rPr>
            </w:pPr>
            <w:r w:rsidRPr="00ED45A4">
              <w:rPr>
                <w:rStyle w:val="Pogrubienie"/>
                <w:b w:val="0"/>
              </w:rPr>
              <w:t>Zna wskaźniki zdrowotności populacji</w:t>
            </w:r>
          </w:p>
          <w:p w:rsidR="00EB5CFC" w:rsidRPr="00ED45A4" w:rsidRDefault="00EB5CFC" w:rsidP="007C55CA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:rsidR="00E72619" w:rsidRDefault="00E72619"/>
    <w:p w:rsidR="00EB5CFC" w:rsidRDefault="00EB5CFC"/>
    <w:p w:rsidR="00EB5CFC" w:rsidRDefault="00EB5CFC"/>
    <w:p w:rsidR="00ED484A" w:rsidRDefault="00ED484A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1702"/>
        <w:gridCol w:w="113"/>
        <w:gridCol w:w="8250"/>
      </w:tblGrid>
      <w:tr w:rsidR="00EB5CFC" w:rsidRPr="00ED484A" w:rsidTr="00EB5CFC">
        <w:trPr>
          <w:gridBefore w:val="1"/>
          <w:wBefore w:w="141" w:type="dxa"/>
          <w:trHeight w:val="992"/>
        </w:trPr>
        <w:tc>
          <w:tcPr>
            <w:tcW w:w="1702" w:type="dxa"/>
          </w:tcPr>
          <w:p w:rsidR="00EB5CFC" w:rsidRPr="00ED484A" w:rsidRDefault="00EB5CFC" w:rsidP="00EB5CF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lastRenderedPageBreak/>
              <w:t>Symbol efektu kształcenia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Opis efektów kształcenia dla kierunku studiów                             </w:t>
            </w:r>
            <w:r w:rsidRPr="00ED484A">
              <w:rPr>
                <w:rFonts w:ascii="Arial" w:eastAsia="Arial Unicode MS" w:hAnsi="Arial" w:cs="Arial"/>
                <w:b/>
                <w:bCs/>
                <w:i/>
                <w:color w:val="000000"/>
                <w:sz w:val="24"/>
                <w:szCs w:val="24"/>
              </w:rPr>
              <w:t>„Farmacja Medyczna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” w zakresie 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val="single"/>
              </w:rPr>
              <w:t>umiejętności.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Po zakończeniu studiów podyplomowych absolwent:</w:t>
            </w:r>
          </w:p>
        </w:tc>
      </w:tr>
      <w:tr w:rsidR="00EB5CFC" w:rsidRPr="00ED484A" w:rsidTr="00EB5CFC">
        <w:trPr>
          <w:gridBefore w:val="1"/>
          <w:wBefore w:w="141" w:type="dxa"/>
          <w:trHeight w:val="30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F_U01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wyszukiwać z różnych źródeł  i krytycznie interpretować informację o leku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F_U02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Rozwiązuje  problemy  medyczne kierując się zasadami etyki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F_U03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interpretować wybrane akty prawne</w:t>
            </w:r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F_U04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uzasadnić  tryb działania instytucji nadzorujących rynek farmaceutyczny</w:t>
            </w:r>
          </w:p>
        </w:tc>
      </w:tr>
      <w:tr w:rsidR="00EB5CFC" w:rsidRPr="00ED484A" w:rsidTr="00EB5CFC">
        <w:trPr>
          <w:gridBefore w:val="1"/>
          <w:wBefore w:w="141" w:type="dxa"/>
          <w:trHeight w:val="302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F_U05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scharakteryzować  fazy badań klinicznych leków</w:t>
            </w:r>
          </w:p>
        </w:tc>
      </w:tr>
      <w:tr w:rsidR="00EB5CFC" w:rsidRPr="00ED484A" w:rsidTr="00EB5CFC">
        <w:trPr>
          <w:gridBefore w:val="1"/>
          <w:wBefore w:w="141" w:type="dxa"/>
          <w:trHeight w:val="54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F_U06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wybrać procedurę dopuszczania do obrotu właściwą dla danej kategorii produktu</w:t>
            </w:r>
          </w:p>
        </w:tc>
      </w:tr>
      <w:tr w:rsidR="00EB5CFC" w:rsidRPr="00ED484A" w:rsidTr="00EB5CFC">
        <w:trPr>
          <w:gridBefore w:val="1"/>
          <w:wBefore w:w="141" w:type="dxa"/>
          <w:trHeight w:val="54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F_U07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Określa zakres badań koniecznych do uzyskania rejestracji produktu leczniczego i wyrobu medycznego</w:t>
            </w:r>
          </w:p>
        </w:tc>
      </w:tr>
      <w:tr w:rsidR="00EB5CFC" w:rsidRPr="00ED484A" w:rsidTr="00EB5CFC">
        <w:trPr>
          <w:gridBefore w:val="1"/>
          <w:wBefore w:w="141" w:type="dxa"/>
          <w:trHeight w:val="54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F_U08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w oparciu o mechanizm działania wyjaśnić właściwości farmakologiczne wybranych grup leków</w:t>
            </w:r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F_U09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określić zagrożenia i korzyści związane z farmakoterapią wybranych chorób przewlekłych</w:t>
            </w:r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F_U10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określić ryzyko i korzyści związane ze stosowaniem suplementów diety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F_U11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Wskazuje  kierunki  poszukiwań nowych leków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F_U12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obliczyć  podstawowe parametry farmakokinetyczne</w:t>
            </w:r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F_U13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przewidzieć wpływ czynników fizjologicznych, patofizjologicznych i środowiskowych na działanie leków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F_U14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Wyjaśnia przyczyny  interakcji leków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F_U15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Określa zakres badań potrzebnych do oceny postaci leku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F_U16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Potrafi zaprojektować badania  </w:t>
            </w:r>
            <w:proofErr w:type="spellStart"/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biorównoważności</w:t>
            </w:r>
            <w:proofErr w:type="spellEnd"/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F_U17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wskazać korzyści z wprowadzenia modyfikacji  postaci leku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F_U18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Wskazuje  kierunki rozwoju technologii postaci leku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F_U19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Potrafi zaplanować badania </w:t>
            </w:r>
            <w:proofErr w:type="spellStart"/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preformulacyjne</w:t>
            </w:r>
            <w:proofErr w:type="spellEnd"/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F_U20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koordynować procesy związane ze zgłaszaniem działań niepożądanych leku</w:t>
            </w:r>
          </w:p>
        </w:tc>
      </w:tr>
      <w:tr w:rsidR="00EB5CFC" w:rsidRPr="00ED484A" w:rsidTr="00EB5CFC">
        <w:trPr>
          <w:gridBefore w:val="1"/>
          <w:wBefore w:w="141" w:type="dxa"/>
          <w:trHeight w:val="54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F_U21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Stosuje metody statystyczne do opracowania danych uzyskanych z badań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F_U22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Definiuje  pojęcia z zakresu ekonomiki zdrowia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F_U23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poszukiwać źródeł finansowania projektów badawczych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F_U24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Interpretuje wyniki analiz </w:t>
            </w:r>
            <w:proofErr w:type="spellStart"/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farmakoekonomicznych</w:t>
            </w:r>
            <w:proofErr w:type="spellEnd"/>
          </w:p>
        </w:tc>
      </w:tr>
      <w:tr w:rsidR="00EB5CFC" w:rsidRPr="00ED484A" w:rsidTr="00EB5CFC">
        <w:trPr>
          <w:gridBefore w:val="1"/>
          <w:wBefore w:w="141" w:type="dxa"/>
          <w:trHeight w:val="28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F_U25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Stosuje etyczne strategie marketingu farmaceutycznego</w:t>
            </w:r>
          </w:p>
        </w:tc>
      </w:tr>
      <w:tr w:rsidR="00EB5CFC" w:rsidRPr="00ED484A" w:rsidTr="00EB5CFC">
        <w:trPr>
          <w:gridBefore w:val="1"/>
          <w:wBefore w:w="141" w:type="dxa"/>
          <w:trHeight w:val="556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F_U26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 prezentować i wyjaśniać problemy z zakresu ochrony zdrowia w sposób dostosowany do grupy docelowej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F_U27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 xml:space="preserve">Potrafi zarządzać zespołem </w:t>
            </w:r>
            <w:proofErr w:type="spellStart"/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multidyscyplinarnym</w:t>
            </w:r>
            <w:proofErr w:type="spellEnd"/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F_U28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Klasyfikuje czynniki mające wpływ na użytkowanie leków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F_U29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komunikować się z pracownikami ochrony zdrowia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F_U30</w:t>
            </w: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Interpretuje wskaźniki zdrowotności populacji</w:t>
            </w:r>
          </w:p>
        </w:tc>
      </w:tr>
      <w:tr w:rsidR="00EB5CFC" w:rsidRPr="00ED484A" w:rsidTr="00EB5CFC">
        <w:trPr>
          <w:gridBefore w:val="1"/>
          <w:wBefore w:w="141" w:type="dxa"/>
          <w:trHeight w:val="271"/>
        </w:trPr>
        <w:tc>
          <w:tcPr>
            <w:tcW w:w="1702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B5CFC" w:rsidRPr="00ED484A" w:rsidTr="00EB5CFC">
        <w:trPr>
          <w:trHeight w:val="986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lastRenderedPageBreak/>
              <w:t>Symbol efektu kształcenia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Opis efektów kształcenia dla kierunku studiów                             </w:t>
            </w:r>
            <w:r w:rsidRPr="00ED484A">
              <w:rPr>
                <w:rFonts w:ascii="Arial" w:eastAsia="Arial Unicode MS" w:hAnsi="Arial" w:cs="Arial"/>
                <w:b/>
                <w:bCs/>
                <w:i/>
                <w:color w:val="000000"/>
                <w:sz w:val="24"/>
                <w:szCs w:val="24"/>
              </w:rPr>
              <w:t>„Farmacja Medyczna”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w zakresie 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val="single"/>
              </w:rPr>
              <w:t>kompetencji.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283BCB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Po zakończeniu studiów podyplomowych absolwent: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F_K01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Docenia korzyści  wynikające ze stałej aktualizacji wiedzy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F_K02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pracować w zespole interdyscyplinarnym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F_K03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Ma poczucie odpowiedzialności z tytułu wykonywanych zadań i zawodu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F_K04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Posiada świadomość własnych ograniczeń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F_K05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Ma świadomość znaczenia przestrzegania przepisów prawnych i  stosowania zasad etyki w obszarze nauk medycznych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F_K06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przygotować raport, prezentację, ulotkę, druk reklamowy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F_K07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Potrafi wykorzystać nowoczesne koncepcje zarządzania i strategie marketingowe do  kształtowania wizerunku firmy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F_K08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Jest świadomy odpowiedzialności społecznej biznesu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F_K09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Wspiera  prace badawczo-rozwojowe związane z poszukiwaniem  nowych leków</w:t>
            </w:r>
          </w:p>
        </w:tc>
      </w:tr>
      <w:tr w:rsidR="00EB5CFC" w:rsidRPr="00ED484A" w:rsidTr="00EB5CFC">
        <w:trPr>
          <w:trHeight w:val="144"/>
        </w:trPr>
        <w:tc>
          <w:tcPr>
            <w:tcW w:w="1956" w:type="dxa"/>
            <w:gridSpan w:val="3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F_K10</w:t>
            </w:r>
          </w:p>
        </w:tc>
        <w:tc>
          <w:tcPr>
            <w:tcW w:w="8250" w:type="dxa"/>
          </w:tcPr>
          <w:p w:rsidR="00EB5CFC" w:rsidRPr="00ED484A" w:rsidRDefault="00EB5CFC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Propaguje ochronę środowiska naturalnego</w:t>
            </w:r>
          </w:p>
        </w:tc>
      </w:tr>
    </w:tbl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B5CFC" w:rsidRDefault="00EB5CFC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B5CFC" w:rsidRPr="00ED484A" w:rsidRDefault="00EB5CFC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Default="00ED484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484A" w:rsidRPr="00ED484A" w:rsidTr="007C55CA">
        <w:trPr>
          <w:trHeight w:val="411"/>
        </w:trPr>
        <w:tc>
          <w:tcPr>
            <w:tcW w:w="11057" w:type="dxa"/>
            <w:gridSpan w:val="15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Efekty kształcenia w zakresie 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val="single"/>
              </w:rPr>
              <w:t>wiedzy</w:t>
            </w: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 osiągane w ramach realizacji                                              programu studiów podyplomowych </w:t>
            </w:r>
            <w:r w:rsidRPr="00ED484A">
              <w:rPr>
                <w:rFonts w:ascii="Arial" w:eastAsia="Arial Unicode MS" w:hAnsi="Arial" w:cs="Arial"/>
                <w:b/>
                <w:bCs/>
                <w:i/>
                <w:color w:val="000000"/>
                <w:sz w:val="24"/>
                <w:szCs w:val="24"/>
              </w:rPr>
              <w:t>„Farmacja Medyczna”</w:t>
            </w:r>
          </w:p>
        </w:tc>
      </w:tr>
      <w:tr w:rsidR="00ED484A" w:rsidRPr="00ED484A" w:rsidTr="007C55CA">
        <w:trPr>
          <w:trHeight w:val="411"/>
        </w:trPr>
        <w:tc>
          <w:tcPr>
            <w:tcW w:w="1135" w:type="dxa"/>
            <w:vMerge w:val="restart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Symbol</w:t>
            </w:r>
          </w:p>
        </w:tc>
        <w:tc>
          <w:tcPr>
            <w:tcW w:w="9922" w:type="dxa"/>
            <w:gridSpan w:val="14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Moduł/przedmiot* </w:t>
            </w:r>
          </w:p>
        </w:tc>
      </w:tr>
      <w:tr w:rsidR="00ED484A" w:rsidRPr="00ED484A" w:rsidTr="007C55CA">
        <w:tc>
          <w:tcPr>
            <w:tcW w:w="1135" w:type="dxa"/>
            <w:vMerge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F_W01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F_W02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</w:tr>
      <w:tr w:rsidR="00ED484A" w:rsidRPr="00ED484A" w:rsidTr="007C55CA">
        <w:trPr>
          <w:trHeight w:val="124"/>
        </w:trPr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F_W03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F_W04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F_W05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F_W06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F_W07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F_W08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F_W09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F_W10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F_W11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F_W12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F_W13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F_W14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F_W15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F_W16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F_W17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F_W18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F_W19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F_W20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F_W21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F_W22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F_W23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F_W24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F_W25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F_W26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F_W27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F_W28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F_W29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F_W30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F_W31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F_W32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ED484A" w:rsidRPr="00ED484A" w:rsidTr="007C55CA">
        <w:tc>
          <w:tcPr>
            <w:tcW w:w="1135" w:type="dxa"/>
          </w:tcPr>
          <w:p w:rsidR="00ED484A" w:rsidRPr="00ED484A" w:rsidRDefault="00ED484A" w:rsidP="00ED484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F_W33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ED484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+++</w:t>
            </w: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84A" w:rsidRPr="00ED484A" w:rsidRDefault="00ED484A" w:rsidP="00ED484A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ED484A">
        <w:rPr>
          <w:rFonts w:ascii="Arial" w:eastAsia="Arial Unicode MS" w:hAnsi="Arial" w:cs="Arial"/>
          <w:bCs/>
          <w:color w:val="000000"/>
          <w:sz w:val="24"/>
          <w:szCs w:val="24"/>
        </w:rPr>
        <w:t>*Moduły /przedmioty – numeracja zgodna z podanym wcześniej wykazem przedmiotów  (s.3)</w:t>
      </w: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484A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D484A" w:rsidRPr="00ED484A" w:rsidRDefault="00ED5349" w:rsidP="00ED484A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br/>
      </w:r>
    </w:p>
    <w:sectPr w:rsidR="00ED484A" w:rsidRPr="00ED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493"/>
    <w:multiLevelType w:val="hybridMultilevel"/>
    <w:tmpl w:val="8A7E6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95977"/>
    <w:multiLevelType w:val="hybridMultilevel"/>
    <w:tmpl w:val="E9ECB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08D3"/>
    <w:multiLevelType w:val="hybridMultilevel"/>
    <w:tmpl w:val="C11CE4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10D"/>
    <w:multiLevelType w:val="hybridMultilevel"/>
    <w:tmpl w:val="3902745A"/>
    <w:lvl w:ilvl="0" w:tplc="FF227B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186D"/>
    <w:multiLevelType w:val="hybridMultilevel"/>
    <w:tmpl w:val="40A21C28"/>
    <w:lvl w:ilvl="0" w:tplc="A69E95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7137FA"/>
    <w:multiLevelType w:val="hybridMultilevel"/>
    <w:tmpl w:val="099E71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AEB8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0372F"/>
    <w:multiLevelType w:val="hybridMultilevel"/>
    <w:tmpl w:val="8F4CB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F14CD"/>
    <w:multiLevelType w:val="hybridMultilevel"/>
    <w:tmpl w:val="39B2EAF2"/>
    <w:lvl w:ilvl="0" w:tplc="FE908D60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B3CB5"/>
    <w:multiLevelType w:val="hybridMultilevel"/>
    <w:tmpl w:val="BFDCDA52"/>
    <w:lvl w:ilvl="0" w:tplc="34FE6D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F0E8C"/>
    <w:multiLevelType w:val="hybridMultilevel"/>
    <w:tmpl w:val="E8F6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53CC"/>
    <w:multiLevelType w:val="hybridMultilevel"/>
    <w:tmpl w:val="D66E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3B28"/>
    <w:multiLevelType w:val="hybridMultilevel"/>
    <w:tmpl w:val="F740071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65C2E0A"/>
    <w:multiLevelType w:val="hybridMultilevel"/>
    <w:tmpl w:val="F1D29964"/>
    <w:lvl w:ilvl="0" w:tplc="368C0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CC5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E2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143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2A7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E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FEB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600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86D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5615D"/>
    <w:multiLevelType w:val="hybridMultilevel"/>
    <w:tmpl w:val="0590E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4A"/>
    <w:rsid w:val="00283BCB"/>
    <w:rsid w:val="0032656D"/>
    <w:rsid w:val="007B5FFD"/>
    <w:rsid w:val="00E72619"/>
    <w:rsid w:val="00EB5CFC"/>
    <w:rsid w:val="00ED484A"/>
    <w:rsid w:val="00E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4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484A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484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ogrubienie">
    <w:name w:val="Strong"/>
    <w:qFormat/>
    <w:rsid w:val="00ED48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D48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8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8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4A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484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48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D484A"/>
    <w:rPr>
      <w:color w:val="0000FF"/>
      <w:u w:val="single"/>
    </w:rPr>
  </w:style>
  <w:style w:type="table" w:styleId="Tabela-Siatka">
    <w:name w:val="Table Grid"/>
    <w:basedOn w:val="Standardowy"/>
    <w:rsid w:val="00ED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D484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D484A"/>
    <w:rPr>
      <w:vertAlign w:val="superscript"/>
    </w:rPr>
  </w:style>
  <w:style w:type="character" w:styleId="Odwoaniedokomentarza">
    <w:name w:val="annotation reference"/>
    <w:rsid w:val="00ED48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484A"/>
  </w:style>
  <w:style w:type="character" w:customStyle="1" w:styleId="TekstkomentarzaZnak">
    <w:name w:val="Tekst komentarza Znak"/>
    <w:basedOn w:val="Domylnaczcionkaakapitu"/>
    <w:link w:val="Tekstkomentarza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D484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D48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ED48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D48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ED4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4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4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484A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484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ogrubienie">
    <w:name w:val="Strong"/>
    <w:qFormat/>
    <w:rsid w:val="00ED48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D48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D48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8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4A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484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48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D484A"/>
    <w:rPr>
      <w:color w:val="0000FF"/>
      <w:u w:val="single"/>
    </w:rPr>
  </w:style>
  <w:style w:type="table" w:styleId="Tabela-Siatka">
    <w:name w:val="Table Grid"/>
    <w:basedOn w:val="Standardowy"/>
    <w:rsid w:val="00ED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D484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D484A"/>
    <w:rPr>
      <w:vertAlign w:val="superscript"/>
    </w:rPr>
  </w:style>
  <w:style w:type="character" w:styleId="Odwoaniedokomentarza">
    <w:name w:val="annotation reference"/>
    <w:rsid w:val="00ED48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484A"/>
  </w:style>
  <w:style w:type="character" w:customStyle="1" w:styleId="TekstkomentarzaZnak">
    <w:name w:val="Tekst komentarza Znak"/>
    <w:basedOn w:val="Domylnaczcionkaakapitu"/>
    <w:link w:val="Tekstkomentarza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D484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D48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ED48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D48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ED4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4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8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Barańska-Tarkowska</dc:creator>
  <cp:lastModifiedBy>Dagmara Barańska-Tarkowska</cp:lastModifiedBy>
  <cp:revision>4</cp:revision>
  <dcterms:created xsi:type="dcterms:W3CDTF">2014-05-05T11:06:00Z</dcterms:created>
  <dcterms:modified xsi:type="dcterms:W3CDTF">2014-05-05T11:11:00Z</dcterms:modified>
</cp:coreProperties>
</file>